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INSERÇÃO DE DADOS CADASTRAIS DO IMÓVEL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AVERBAÇÃO / INSERÇÃO DE DADOS DO IMÓVEL </w:t>
      </w:r>
      <w:r w:rsidDel="00000000" w:rsidR="00000000" w:rsidRPr="00000000">
        <w:rPr>
          <w:rtl w:val="0"/>
        </w:rPr>
        <w:t xml:space="preserve">constante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Registral, conforme segue abaixo: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40" w:before="240" w:line="240" w:lineRule="auto"/>
        <w:ind w:left="720" w:hanging="360"/>
        <w:jc w:val="both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[mencionar dados ou documentos a serem inseridos na matrícula do imóvel]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tanto, anexa ao presente requerimento as </w:t>
      </w:r>
      <w:r w:rsidDel="00000000" w:rsidR="00000000" w:rsidRPr="00000000">
        <w:rPr>
          <w:b w:val="1"/>
          <w:bCs w:val="1"/>
          <w:rtl w:val="0"/>
        </w:rPr>
        <w:t xml:space="preserve">cópias autenticadas</w:t>
      </w:r>
      <w:r w:rsidDel="00000000" w:rsidR="00000000" w:rsidRPr="00000000">
        <w:rPr>
          <w:rtl w:val="0"/>
        </w:rPr>
        <w:t xml:space="preserve"> (ou originais para conferência) dos documentos comprobatórios acima citados.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presente pedido fundamenta-se no Princípio da Especialidade Objetiva e nos </w:t>
      </w:r>
      <w:r w:rsidDel="00000000" w:rsidR="00000000" w:rsidRPr="00000000">
        <w:rPr>
          <w:b w:val="1"/>
          <w:bCs w:val="1"/>
          <w:rtl w:val="0"/>
        </w:rPr>
        <w:t xml:space="preserve">arts. 440-AQ (inciso IV e §§ 1º e 2º), 440-AR, 440-AS (incisos III e IV), 440-AV e 440-AW do Código Nacional de Normas da Corregedoria Nacional de Justiça – Foro Extrajudicial (Provimento CNJ nº 149/2023, com a redação incluída pelo Provimento CNJ nº 195/2025)</w:t>
      </w:r>
      <w:r w:rsidDel="00000000" w:rsidR="00000000" w:rsidRPr="00000000">
        <w:rPr>
          <w:rtl w:val="0"/>
        </w:rPr>
        <w:t xml:space="preserve">, que disciplinam as informações obrigatórias da matrícula e a averbação de saneamento dos dados descritivos do imóvel e de seus cadastros imobiliários oficiais em ato único; em consonância com os </w:t>
      </w:r>
      <w:r w:rsidDel="00000000" w:rsidR="00000000" w:rsidRPr="00000000">
        <w:rPr>
          <w:b w:val="1"/>
          <w:bCs w:val="1"/>
          <w:rtl w:val="0"/>
        </w:rPr>
        <w:t xml:space="preserve">arts. 595, inciso II, alínea 'c', e 632, inciso I, do Provimento nº 42/2020-CGJ/MT (CNGCE/MT)</w:t>
      </w:r>
      <w:r w:rsidDel="00000000" w:rsidR="00000000" w:rsidRPr="00000000">
        <w:rPr>
          <w:rtl w:val="0"/>
        </w:rPr>
        <w:t xml:space="preserve"> e com os </w:t>
      </w:r>
      <w:r w:rsidDel="00000000" w:rsidR="00000000" w:rsidRPr="00000000">
        <w:rPr>
          <w:b w:val="1"/>
          <w:bCs w:val="1"/>
          <w:rtl w:val="0"/>
        </w:rPr>
        <w:t xml:space="preserve">arts. 167, inciso II, 176, § 1º, inciso II, item 3, e 246 da Lei Federal nº 6.015/1973 (Lei de Registros Públicos)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